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1" w:rsidRPr="0097600A" w:rsidRDefault="00897141" w:rsidP="00897141">
      <w:pPr>
        <w:pStyle w:val="Sinespaciado"/>
        <w:jc w:val="center"/>
        <w:rPr>
          <w:b/>
          <w:sz w:val="28"/>
          <w:szCs w:val="28"/>
        </w:rPr>
      </w:pPr>
      <w:r w:rsidRPr="0097600A">
        <w:rPr>
          <w:b/>
          <w:sz w:val="28"/>
          <w:szCs w:val="28"/>
        </w:rPr>
        <w:t>BOLETIN DE PRENSA</w:t>
      </w:r>
    </w:p>
    <w:p w:rsidR="00897141" w:rsidRPr="0097600A" w:rsidRDefault="00897141" w:rsidP="00897141">
      <w:pPr>
        <w:pStyle w:val="Sinespaciado"/>
        <w:jc w:val="center"/>
        <w:rPr>
          <w:b/>
          <w:sz w:val="28"/>
          <w:szCs w:val="28"/>
        </w:rPr>
      </w:pPr>
      <w:r w:rsidRPr="0097600A">
        <w:rPr>
          <w:b/>
          <w:sz w:val="28"/>
          <w:szCs w:val="28"/>
        </w:rPr>
        <w:t>Asociación Colombiana de Vehículos Automotores</w:t>
      </w:r>
    </w:p>
    <w:p w:rsidR="00897141" w:rsidRPr="0097600A" w:rsidRDefault="00897141" w:rsidP="00897141">
      <w:pPr>
        <w:pStyle w:val="Sinespaciado"/>
        <w:jc w:val="center"/>
        <w:rPr>
          <w:b/>
          <w:sz w:val="28"/>
          <w:szCs w:val="28"/>
        </w:rPr>
      </w:pPr>
      <w:r w:rsidRPr="0097600A">
        <w:rPr>
          <w:b/>
          <w:sz w:val="28"/>
          <w:szCs w:val="28"/>
        </w:rPr>
        <w:t>ANDEMOS</w:t>
      </w:r>
    </w:p>
    <w:p w:rsidR="00897141" w:rsidRPr="0097600A" w:rsidRDefault="00897141" w:rsidP="00897141">
      <w:pPr>
        <w:rPr>
          <w:rFonts w:ascii="Calibri" w:hAnsi="Calibri"/>
        </w:rPr>
      </w:pPr>
    </w:p>
    <w:p w:rsidR="00897141" w:rsidRPr="00C631A8" w:rsidRDefault="00897141" w:rsidP="00897141">
      <w:pPr>
        <w:pStyle w:val="Sinespaciado"/>
        <w:numPr>
          <w:ilvl w:val="0"/>
          <w:numId w:val="43"/>
        </w:numPr>
        <w:rPr>
          <w:b/>
        </w:rPr>
      </w:pPr>
      <w:r>
        <w:rPr>
          <w:b/>
        </w:rPr>
        <w:t xml:space="preserve">Diciembre </w:t>
      </w:r>
      <w:r w:rsidRPr="00C631A8">
        <w:rPr>
          <w:b/>
        </w:rPr>
        <w:t>registr</w:t>
      </w:r>
      <w:r>
        <w:rPr>
          <w:b/>
        </w:rPr>
        <w:t xml:space="preserve">ó </w:t>
      </w:r>
      <w:r w:rsidRPr="00C631A8">
        <w:rPr>
          <w:b/>
        </w:rPr>
        <w:t xml:space="preserve">el mayor volumen de carros en la historia </w:t>
      </w:r>
      <w:r>
        <w:rPr>
          <w:b/>
        </w:rPr>
        <w:t xml:space="preserve">en Colombia </w:t>
      </w:r>
      <w:r w:rsidRPr="00C631A8">
        <w:rPr>
          <w:b/>
        </w:rPr>
        <w:t>con 40,417 unidades</w:t>
      </w:r>
      <w:r>
        <w:rPr>
          <w:b/>
        </w:rPr>
        <w:t xml:space="preserve"> registradas.</w:t>
      </w:r>
    </w:p>
    <w:p w:rsidR="00897141" w:rsidRPr="00C631A8" w:rsidRDefault="00897141" w:rsidP="00897141">
      <w:pPr>
        <w:pStyle w:val="Sinespaciado"/>
        <w:numPr>
          <w:ilvl w:val="0"/>
          <w:numId w:val="43"/>
        </w:numPr>
        <w:rPr>
          <w:b/>
        </w:rPr>
      </w:pPr>
      <w:r w:rsidRPr="00C631A8">
        <w:rPr>
          <w:b/>
        </w:rPr>
        <w:t>El 2014 cierra con un nuevo record histórico de 326,344 de registros de vehículos nuevos (excluyendo motos)</w:t>
      </w:r>
      <w:r>
        <w:rPr>
          <w:b/>
        </w:rPr>
        <w:t>, un crecimiento del 10,7% frente al 2013</w:t>
      </w:r>
      <w:r w:rsidRPr="00C631A8">
        <w:rPr>
          <w:b/>
        </w:rPr>
        <w:t>.</w:t>
      </w:r>
    </w:p>
    <w:p w:rsidR="00897141" w:rsidRDefault="00897141" w:rsidP="00897141">
      <w:pPr>
        <w:pStyle w:val="Sinespaciado"/>
      </w:pPr>
    </w:p>
    <w:p w:rsidR="00897141" w:rsidRDefault="00897141" w:rsidP="00897141">
      <w:pPr>
        <w:pStyle w:val="Sinespaciado"/>
      </w:pPr>
      <w:r>
        <w:rPr>
          <w:b/>
        </w:rPr>
        <w:t xml:space="preserve">ANDEMOS – </w:t>
      </w:r>
      <w:r>
        <w:t>El mercado de vehículos en Colombia cerró el año reportando cifras históricas tanto en el mes</w:t>
      </w:r>
      <w:r w:rsidR="00A3504D">
        <w:t>,</w:t>
      </w:r>
      <w:r>
        <w:t xml:space="preserve"> como de cierre de año.  El fuerte jalonaso de diciembre obedece a las órdenes generadas en los últimos días de Noviembre a raíz del Salón del Automóvil en Bogotá presionada por la acelerada subida del dólar</w:t>
      </w:r>
      <w:r w:rsidR="00B63147">
        <w:t>,</w:t>
      </w:r>
      <w:r>
        <w:t xml:space="preserve"> y por supuesto</w:t>
      </w:r>
      <w:r w:rsidR="00B63147">
        <w:t>,</w:t>
      </w:r>
      <w:r>
        <w:t xml:space="preserve"> la baja tasa de motorización del país que</w:t>
      </w:r>
      <w:r w:rsidR="00B63147">
        <w:t xml:space="preserve"> es el motor de</w:t>
      </w:r>
      <w:r>
        <w:t xml:space="preserve"> la demanda</w:t>
      </w:r>
      <w:r w:rsidR="00B63147">
        <w:t xml:space="preserve"> de vehículos en Colombia</w:t>
      </w:r>
      <w:r>
        <w:t xml:space="preserve">. </w:t>
      </w:r>
    </w:p>
    <w:p w:rsidR="00897141" w:rsidRDefault="00897141" w:rsidP="00897141">
      <w:pPr>
        <w:pStyle w:val="Sinespaciado"/>
      </w:pPr>
    </w:p>
    <w:p w:rsidR="00897141" w:rsidRDefault="00897141" w:rsidP="00897141">
      <w:pPr>
        <w:pStyle w:val="Sinespaciado"/>
      </w:pPr>
      <w:r>
        <w:t>A lo largo del año 2014 se destaca del mercado lo siguiente;</w:t>
      </w:r>
    </w:p>
    <w:p w:rsidR="00897141" w:rsidRDefault="00897141" w:rsidP="007D0803">
      <w:pPr>
        <w:pStyle w:val="Sinespaciado"/>
        <w:numPr>
          <w:ilvl w:val="0"/>
          <w:numId w:val="46"/>
        </w:numPr>
      </w:pPr>
      <w:r>
        <w:t xml:space="preserve">El crecimiento de las marcas Suzuki </w:t>
      </w:r>
      <w:r w:rsidR="007D0803">
        <w:t>(+72,</w:t>
      </w:r>
      <w:r w:rsidR="00EE277A">
        <w:t>9%), Ford</w:t>
      </w:r>
      <w:r>
        <w:t xml:space="preserve"> (+</w:t>
      </w:r>
      <w:r w:rsidR="007D0803">
        <w:t>24,</w:t>
      </w:r>
      <w:r>
        <w:t>4%)</w:t>
      </w:r>
      <w:r w:rsidR="00EE277A">
        <w:t>,</w:t>
      </w:r>
      <w:r>
        <w:t xml:space="preserve"> </w:t>
      </w:r>
      <w:r w:rsidR="00EE277A">
        <w:t>Mazda</w:t>
      </w:r>
      <w:r>
        <w:t xml:space="preserve"> (+22,1%) y Renault (+16,1%), mientras que Colmotores continúa liderando las ventas del mercado Colombiano.</w:t>
      </w:r>
    </w:p>
    <w:p w:rsidR="00897141" w:rsidRDefault="00897141" w:rsidP="007D0803">
      <w:pPr>
        <w:pStyle w:val="Sinespaciado"/>
        <w:numPr>
          <w:ilvl w:val="0"/>
          <w:numId w:val="46"/>
        </w:numPr>
      </w:pPr>
      <w:r>
        <w:t>El incremento de las ventas de vehículos provenientes de Japón</w:t>
      </w:r>
      <w:r w:rsidR="007D0803">
        <w:t xml:space="preserve"> (+36,</w:t>
      </w:r>
      <w:r>
        <w:t>6%), la Unión</w:t>
      </w:r>
      <w:r w:rsidR="00AF43FD">
        <w:t xml:space="preserve"> E</w:t>
      </w:r>
      <w:r w:rsidR="007D0803">
        <w:t>uropea (+20,</w:t>
      </w:r>
      <w:r w:rsidR="00AF43FD">
        <w:t xml:space="preserve">9%) y una </w:t>
      </w:r>
      <w:r>
        <w:t>importante recuperación del e</w:t>
      </w:r>
      <w:r w:rsidR="007D0803">
        <w:t>nsamble local (+13,</w:t>
      </w:r>
      <w:r>
        <w:t>2%).</w:t>
      </w:r>
    </w:p>
    <w:p w:rsidR="00897141" w:rsidRDefault="00897141" w:rsidP="007D0803">
      <w:pPr>
        <w:pStyle w:val="Sinespaciado"/>
        <w:numPr>
          <w:ilvl w:val="0"/>
          <w:numId w:val="46"/>
        </w:numPr>
      </w:pPr>
      <w:r>
        <w:t xml:space="preserve">El crecimiento de los vehículos particulares (Utilitarios y Automóviles) y los Camiones de Reparto o livianos de menos de 10,5 toneladas. </w:t>
      </w:r>
    </w:p>
    <w:p w:rsidR="007D0803" w:rsidRDefault="007D0803" w:rsidP="007D0803">
      <w:pPr>
        <w:pStyle w:val="Sinespaciado"/>
        <w:numPr>
          <w:ilvl w:val="0"/>
          <w:numId w:val="46"/>
        </w:numPr>
      </w:pPr>
      <w:r>
        <w:t>L</w:t>
      </w:r>
      <w:r w:rsidR="00425C69">
        <w:t xml:space="preserve">os Tractocamiones </w:t>
      </w:r>
      <w:r>
        <w:t>continu</w:t>
      </w:r>
      <w:r w:rsidR="00425C69">
        <w:t>a</w:t>
      </w:r>
      <w:r>
        <w:t xml:space="preserve">ron registrando descensos  en el 2014 (-14,7%) </w:t>
      </w:r>
      <w:r w:rsidR="0058197E">
        <w:t xml:space="preserve">debido a </w:t>
      </w:r>
      <w:r>
        <w:t>los</w:t>
      </w:r>
      <w:r w:rsidR="0058197E">
        <w:t xml:space="preserve"> reconocidos </w:t>
      </w:r>
      <w:r>
        <w:t xml:space="preserve">inconvenientes para matricular un </w:t>
      </w:r>
      <w:r w:rsidR="00511E9E">
        <w:t>vehículo</w:t>
      </w:r>
      <w:r>
        <w:t xml:space="preserve"> </w:t>
      </w:r>
      <w:r w:rsidR="0058197E">
        <w:t xml:space="preserve">bajo </w:t>
      </w:r>
      <w:r>
        <w:t>la actual política de ingreso por desintegración</w:t>
      </w:r>
      <w:r w:rsidR="0058197E">
        <w:t>,</w:t>
      </w:r>
      <w:r>
        <w:t xml:space="preserve"> </w:t>
      </w:r>
      <w:r w:rsidR="00A3504D">
        <w:t xml:space="preserve">situación </w:t>
      </w:r>
      <w:r w:rsidR="00425C69">
        <w:t xml:space="preserve">que ha levantado una </w:t>
      </w:r>
      <w:r>
        <w:t xml:space="preserve">alta </w:t>
      </w:r>
      <w:r w:rsidR="00425C69">
        <w:t>preocupación en</w:t>
      </w:r>
      <w:r>
        <w:t xml:space="preserve"> las delegaciones de la OECD, la Casa Blanca y Comisión Europea.</w:t>
      </w:r>
    </w:p>
    <w:p w:rsidR="00897141" w:rsidRDefault="007D0803" w:rsidP="007D0803">
      <w:pPr>
        <w:pStyle w:val="Sinespaciado"/>
      </w:pPr>
      <w:r>
        <w:t xml:space="preserve"> </w:t>
      </w:r>
    </w:p>
    <w:p w:rsidR="00EE277A" w:rsidRDefault="0058197E" w:rsidP="0058197E">
      <w:pPr>
        <w:pStyle w:val="Sinespaciado"/>
        <w:jc w:val="center"/>
      </w:pPr>
      <w:r w:rsidRPr="0058197E">
        <w:rPr>
          <w:noProof/>
          <w:lang w:eastAsia="es-CO"/>
        </w:rPr>
        <w:drawing>
          <wp:inline distT="0" distB="0" distL="0" distR="0">
            <wp:extent cx="4222800" cy="2721600"/>
            <wp:effectExtent l="0" t="0" r="635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00" cy="2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141" w:rsidRDefault="00897141" w:rsidP="00897141">
      <w:pPr>
        <w:pStyle w:val="Sinespaciado"/>
      </w:pPr>
      <w:r>
        <w:lastRenderedPageBreak/>
        <w:t xml:space="preserve">Los resultados de ventas de vehículos nuevos </w:t>
      </w:r>
      <w:r w:rsidR="00B63147">
        <w:t xml:space="preserve">en Colombia </w:t>
      </w:r>
      <w:r>
        <w:t>son una buena noticia para el fisco toda vez que el sector automotor aporta anualmente 19.6 billones de pesos anuales en recaudos de IVA, aranceles, peajes, seguros</w:t>
      </w:r>
      <w:r w:rsidR="00845F4C">
        <w:t>,</w:t>
      </w:r>
      <w:r>
        <w:t xml:space="preserve"> e impuestos a combustibles, según </w:t>
      </w:r>
      <w:r w:rsidR="00845F4C">
        <w:t xml:space="preserve">lo revela </w:t>
      </w:r>
      <w:r>
        <w:t xml:space="preserve">el estudio de impacto del sector elaborado por Fedesarrollo para ANDEMOS.   </w:t>
      </w:r>
    </w:p>
    <w:p w:rsidR="00897141" w:rsidRDefault="00897141" w:rsidP="00897141">
      <w:pPr>
        <w:pStyle w:val="Sinespaciado"/>
      </w:pPr>
    </w:p>
    <w:p w:rsidR="00897141" w:rsidRDefault="00897141" w:rsidP="00897141">
      <w:pPr>
        <w:pStyle w:val="Sinespaciado"/>
      </w:pPr>
      <w:r>
        <w:t>Si bien la cifra de +40 mil unidades</w:t>
      </w:r>
      <w:r w:rsidR="0058197E">
        <w:t xml:space="preserve"> nuevas reportadas el pasado</w:t>
      </w:r>
      <w:r w:rsidR="00EE277A">
        <w:t xml:space="preserve"> diciembre</w:t>
      </w:r>
      <w:r>
        <w:t xml:space="preserve"> rompe un nuevo record histórico en </w:t>
      </w:r>
      <w:r w:rsidR="0058197E">
        <w:t xml:space="preserve">el </w:t>
      </w:r>
      <w:r w:rsidR="00511E9E">
        <w:t>país</w:t>
      </w:r>
      <w:r>
        <w:t xml:space="preserve">, es importante recordar que Colombia debería de estar registrando 60 mil unidades mensuales considerando la notoria baja tasa de motorización del país frente al promedio de la región. </w:t>
      </w:r>
    </w:p>
    <w:p w:rsidR="00897141" w:rsidRDefault="00897141" w:rsidP="00897141">
      <w:pPr>
        <w:pStyle w:val="Sinespaciado"/>
      </w:pPr>
    </w:p>
    <w:p w:rsidR="00897141" w:rsidRDefault="0058197E" w:rsidP="00897141">
      <w:pPr>
        <w:pStyle w:val="Sinespaciado"/>
      </w:pPr>
      <w:r>
        <w:t>Sin embargo, p</w:t>
      </w:r>
      <w:r w:rsidR="00897141">
        <w:t xml:space="preserve">ara el 2015 el panorama para el sector automotor no </w:t>
      </w:r>
      <w:r>
        <w:t xml:space="preserve">pudiera </w:t>
      </w:r>
      <w:r w:rsidR="00897141">
        <w:t>pinta</w:t>
      </w:r>
      <w:r>
        <w:t>r</w:t>
      </w:r>
      <w:r w:rsidR="00897141">
        <w:t xml:space="preserve"> tan bien por la </w:t>
      </w:r>
      <w:r>
        <w:t xml:space="preserve">alta </w:t>
      </w:r>
      <w:r w:rsidR="00897141">
        <w:t xml:space="preserve">incertidumbre del entorno económico </w:t>
      </w:r>
      <w:r w:rsidR="00A3504D">
        <w:t>con</w:t>
      </w:r>
      <w:r w:rsidR="00511E9E">
        <w:t xml:space="preserve"> que arranca e</w:t>
      </w:r>
      <w:r w:rsidR="00A3504D">
        <w:t xml:space="preserve">l 2015 </w:t>
      </w:r>
      <w:r w:rsidR="00897141">
        <w:t xml:space="preserve">con </w:t>
      </w:r>
      <w:r w:rsidR="00B63147">
        <w:t xml:space="preserve">bajos </w:t>
      </w:r>
      <w:r w:rsidR="00897141">
        <w:t>precios del petróleo,</w:t>
      </w:r>
      <w:r w:rsidR="00511E9E">
        <w:t xml:space="preserve"> </w:t>
      </w:r>
      <w:r w:rsidR="00A3504D">
        <w:t>l</w:t>
      </w:r>
      <w:r w:rsidR="00897141">
        <w:t xml:space="preserve">a </w:t>
      </w:r>
      <w:r w:rsidR="00B63147">
        <w:t xml:space="preserve">acelerada </w:t>
      </w:r>
      <w:r w:rsidR="00897141">
        <w:t xml:space="preserve">devaluación del peso </w:t>
      </w:r>
      <w:r w:rsidR="00511E9E">
        <w:t>de</w:t>
      </w:r>
      <w:r w:rsidR="00B63147">
        <w:t xml:space="preserve"> los últimos meses</w:t>
      </w:r>
      <w:r w:rsidR="00511E9E">
        <w:t>,</w:t>
      </w:r>
      <w:r w:rsidR="00B63147">
        <w:t xml:space="preserve"> </w:t>
      </w:r>
      <w:r w:rsidR="00897141">
        <w:t xml:space="preserve">y el impacto de la reforma tributaria </w:t>
      </w:r>
      <w:r w:rsidR="00B63147">
        <w:t xml:space="preserve">que podrá tener en </w:t>
      </w:r>
      <w:r w:rsidR="00897141">
        <w:t xml:space="preserve">las inversiones.   </w:t>
      </w:r>
    </w:p>
    <w:p w:rsidR="00897141" w:rsidRDefault="00897141" w:rsidP="00897141">
      <w:pPr>
        <w:pStyle w:val="Sinespaciado"/>
      </w:pPr>
    </w:p>
    <w:p w:rsidR="00511E9E" w:rsidRDefault="00511E9E" w:rsidP="00897141">
      <w:pPr>
        <w:pStyle w:val="Sinespaciado"/>
      </w:pPr>
      <w:r>
        <w:t>N</w:t>
      </w:r>
      <w:r w:rsidR="00845F4C">
        <w:t>o</w:t>
      </w:r>
      <w:r>
        <w:t xml:space="preserve"> obstante</w:t>
      </w:r>
      <w:r w:rsidR="00845F4C">
        <w:t xml:space="preserve">, </w:t>
      </w:r>
      <w:r w:rsidR="00897141">
        <w:t xml:space="preserve">el Gobierno </w:t>
      </w:r>
      <w:r>
        <w:t xml:space="preserve">Nacional </w:t>
      </w:r>
      <w:r w:rsidR="00897141">
        <w:t>pudiera contrarrestar el efecto negativo sobre el mercado con el ordenamiento y planificación del flujo vehicular urbano</w:t>
      </w:r>
      <w:r w:rsidR="00A3504D">
        <w:t xml:space="preserve">, un mejoramiento </w:t>
      </w:r>
      <w:r w:rsidR="00897141">
        <w:t xml:space="preserve">de la red vial urbana, medidas que promuevan la </w:t>
      </w:r>
      <w:r w:rsidR="00B63147">
        <w:t xml:space="preserve">sana </w:t>
      </w:r>
      <w:r w:rsidR="00897141">
        <w:t>chatarrización de vehículos</w:t>
      </w:r>
      <w:r w:rsidR="00845F4C">
        <w:t xml:space="preserve"> públicos y particulares</w:t>
      </w:r>
      <w:r w:rsidR="00897141">
        <w:t xml:space="preserve"> </w:t>
      </w:r>
      <w:r w:rsidR="00845F4C">
        <w:t xml:space="preserve">sin restricciones comerciales </w:t>
      </w:r>
      <w:r w:rsidR="00897141">
        <w:t>acorde con la OECD</w:t>
      </w:r>
      <w:r w:rsidR="00B63147">
        <w:t>,</w:t>
      </w:r>
      <w:r w:rsidR="00897141">
        <w:t xml:space="preserve"> y la restructuración de la política de fijación de</w:t>
      </w:r>
      <w:r w:rsidR="00B63147">
        <w:t>l</w:t>
      </w:r>
      <w:r w:rsidR="00897141">
        <w:t xml:space="preserve"> impuesto vehicular que busque la reposición vehicular castigando a los vehículos </w:t>
      </w:r>
      <w:r w:rsidR="00A3504D">
        <w:t xml:space="preserve">obsoletos </w:t>
      </w:r>
      <w:r w:rsidR="00897141">
        <w:t>que verdaderamente generan un impacto negativo a la salud pública.</w:t>
      </w:r>
    </w:p>
    <w:p w:rsidR="00897141" w:rsidRDefault="00897141" w:rsidP="00897141">
      <w:pPr>
        <w:pStyle w:val="Sinespaciado"/>
      </w:pPr>
      <w:r>
        <w:t xml:space="preserve">   </w:t>
      </w:r>
    </w:p>
    <w:p w:rsidR="00897141" w:rsidRDefault="00897141" w:rsidP="00897141">
      <w:pPr>
        <w:pStyle w:val="Sinespaciado"/>
      </w:pPr>
      <w:r>
        <w:t>Otr</w:t>
      </w:r>
      <w:r w:rsidR="00845F4C">
        <w:t xml:space="preserve">as noticias </w:t>
      </w:r>
      <w:r>
        <w:t>relevantes del sector</w:t>
      </w:r>
      <w:r w:rsidR="00511E9E">
        <w:t xml:space="preserve"> en el 2014</w:t>
      </w:r>
      <w:r>
        <w:t>;</w:t>
      </w:r>
    </w:p>
    <w:p w:rsidR="00845F4C" w:rsidRDefault="00845F4C" w:rsidP="00897141">
      <w:pPr>
        <w:pStyle w:val="Sinespaciado"/>
      </w:pP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 xml:space="preserve">Moneda Colombiana se devalúa $410 pesos, 21,2% en el año (promedio mensual), Inversión extranjera directa cae a niveles del 2011 y se estima que las exportaciones de la industria automotriz desciendan cerca </w:t>
      </w:r>
      <w:r w:rsidR="00511E9E">
        <w:t>de</w:t>
      </w:r>
      <w:r>
        <w:t>l 40%.</w:t>
      </w: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 xml:space="preserve">La Compañía Colombiana Automotriz cierra su planta </w:t>
      </w:r>
      <w:r w:rsidR="00B63147">
        <w:t xml:space="preserve">de ensamble </w:t>
      </w:r>
      <w:r>
        <w:t>en Colombia e inicia fabricación de vehículos en México.</w:t>
      </w: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>Colombianos reeligen en urnas a Presiente Santos y VP Vargas Lleras; locomotora de la infraestructura comienza a moverse.</w:t>
      </w:r>
    </w:p>
    <w:p w:rsidR="00897141" w:rsidRPr="00412832" w:rsidRDefault="00897141" w:rsidP="00897141">
      <w:pPr>
        <w:pStyle w:val="Sinespaciado"/>
        <w:numPr>
          <w:ilvl w:val="0"/>
          <w:numId w:val="45"/>
        </w:numPr>
      </w:pPr>
      <w:r>
        <w:t>FEDESARROLLO-ANDEMOS revelan que e</w:t>
      </w:r>
      <w:r w:rsidRPr="00412832">
        <w:rPr>
          <w:sz w:val="23"/>
          <w:szCs w:val="23"/>
        </w:rPr>
        <w:t>l sector automotor genera un impacto económico sobre el valor agregado con encadenamientos de 52,3 billones de pesos, de los cuales el 56% proviene de bienes complementarios</w:t>
      </w:r>
      <w:r w:rsidR="00511E9E">
        <w:rPr>
          <w:sz w:val="23"/>
          <w:szCs w:val="23"/>
        </w:rPr>
        <w:t xml:space="preserve"> generados por los vehículos en </w:t>
      </w:r>
      <w:r w:rsidR="00674000">
        <w:rPr>
          <w:sz w:val="23"/>
          <w:szCs w:val="23"/>
        </w:rPr>
        <w:t>circulación</w:t>
      </w:r>
      <w:r w:rsidRPr="00412832">
        <w:rPr>
          <w:sz w:val="23"/>
          <w:szCs w:val="23"/>
        </w:rPr>
        <w:t xml:space="preserve">, el 23% </w:t>
      </w:r>
      <w:r w:rsidR="00511E9E">
        <w:rPr>
          <w:sz w:val="23"/>
          <w:szCs w:val="23"/>
        </w:rPr>
        <w:t xml:space="preserve">lo aporta </w:t>
      </w:r>
      <w:r w:rsidRPr="00412832">
        <w:rPr>
          <w:sz w:val="23"/>
          <w:szCs w:val="23"/>
        </w:rPr>
        <w:t xml:space="preserve">el comercio de vehículos automotores y sus partes, y el 21% </w:t>
      </w:r>
      <w:r w:rsidR="00511E9E">
        <w:rPr>
          <w:sz w:val="23"/>
          <w:szCs w:val="23"/>
        </w:rPr>
        <w:t xml:space="preserve">restante </w:t>
      </w:r>
      <w:r w:rsidRPr="00412832">
        <w:rPr>
          <w:sz w:val="23"/>
          <w:szCs w:val="23"/>
        </w:rPr>
        <w:t>proviene de la fabricación de vehículos automotores y sus partes</w:t>
      </w:r>
      <w:r>
        <w:rPr>
          <w:sz w:val="23"/>
          <w:szCs w:val="23"/>
        </w:rPr>
        <w:t>.</w:t>
      </w: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 xml:space="preserve">SIPT Bogotá reglamenta motores Euro V para Buses en su </w:t>
      </w:r>
      <w:r w:rsidR="00B63147">
        <w:t xml:space="preserve">programa </w:t>
      </w:r>
      <w:r>
        <w:t>de asenso tecnológico.</w:t>
      </w: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 xml:space="preserve">En un hecho sin precedentes, Fiscalía captura banda que defraudaba al Estado con falsas chatarrizaciones de camiones </w:t>
      </w:r>
      <w:r w:rsidR="00511E9E">
        <w:t xml:space="preserve">y también </w:t>
      </w:r>
      <w:r>
        <w:t>estafaba</w:t>
      </w:r>
      <w:r w:rsidR="00511E9E">
        <w:t>n</w:t>
      </w:r>
      <w:r>
        <w:t xml:space="preserve"> a terceros con </w:t>
      </w:r>
      <w:r w:rsidR="00B63147">
        <w:t xml:space="preserve">venta de </w:t>
      </w:r>
      <w:r>
        <w:t>cupos falsos para matricular camiones</w:t>
      </w:r>
      <w:r w:rsidR="00511E9E">
        <w:t xml:space="preserve"> nuevos</w:t>
      </w:r>
      <w:r>
        <w:t xml:space="preserve">.  </w:t>
      </w: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>Congreso de Colombia aprueba Tratado de Libre Com</w:t>
      </w:r>
      <w:bookmarkStart w:id="0" w:name="_GoBack"/>
      <w:bookmarkEnd w:id="0"/>
      <w:r>
        <w:t xml:space="preserve">ercio con Corea del Sur  y </w:t>
      </w:r>
      <w:r w:rsidR="00845F4C">
        <w:t xml:space="preserve">Gobierno </w:t>
      </w:r>
      <w:r>
        <w:t xml:space="preserve">avanza </w:t>
      </w:r>
      <w:r w:rsidR="00845F4C">
        <w:t xml:space="preserve">en </w:t>
      </w:r>
      <w:r>
        <w:t>negociaciones de un Acuerdo de Asociación Económica con Japón.</w:t>
      </w: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>Congreso aprueba nueva reforma tributaria que incrementa impuesto a los patrimonios</w:t>
      </w:r>
      <w:r w:rsidR="00845F4C">
        <w:t xml:space="preserve"> que puede tener impacto en la inversión.</w:t>
      </w:r>
      <w:r>
        <w:t xml:space="preserve"> </w:t>
      </w:r>
    </w:p>
    <w:p w:rsidR="00897141" w:rsidRDefault="00897141" w:rsidP="00897141">
      <w:pPr>
        <w:pStyle w:val="Sinespaciado"/>
        <w:numPr>
          <w:ilvl w:val="0"/>
          <w:numId w:val="45"/>
        </w:numPr>
      </w:pPr>
      <w:r>
        <w:t>Gobierno Nacional anuncia apoyo al Metro de Bogotá</w:t>
      </w:r>
      <w:r w:rsidR="00845F4C">
        <w:t xml:space="preserve"> que requiere </w:t>
      </w:r>
      <w:r w:rsidR="00674000">
        <w:t xml:space="preserve">la ciudad </w:t>
      </w:r>
      <w:r w:rsidR="00845F4C">
        <w:t>con urgencia</w:t>
      </w:r>
      <w:r>
        <w:t>.</w:t>
      </w:r>
    </w:p>
    <w:p w:rsidR="007166FA" w:rsidRDefault="007166FA" w:rsidP="009F2F9D">
      <w:pPr>
        <w:pStyle w:val="Sinespaciado"/>
        <w:jc w:val="both"/>
      </w:pPr>
    </w:p>
    <w:p w:rsidR="00832766" w:rsidRPr="00832766" w:rsidRDefault="00832766" w:rsidP="00832766">
      <w:pPr>
        <w:widowControl/>
        <w:tabs>
          <w:tab w:val="clear" w:pos="284"/>
        </w:tabs>
        <w:jc w:val="left"/>
        <w:rPr>
          <w:rFonts w:ascii="Calibri" w:eastAsia="Calibri" w:hAnsi="Calibri" w:cs="Calibri"/>
          <w:color w:val="000000"/>
          <w:sz w:val="24"/>
          <w:szCs w:val="24"/>
          <w:lang w:val="es-CO"/>
        </w:rPr>
      </w:pPr>
    </w:p>
    <w:p w:rsidR="00832766" w:rsidRDefault="00832766" w:rsidP="00832766">
      <w:pPr>
        <w:widowControl/>
        <w:tabs>
          <w:tab w:val="clear" w:pos="284"/>
        </w:tabs>
        <w:jc w:val="left"/>
        <w:rPr>
          <w:rFonts w:ascii="Calibri" w:eastAsia="Calibri" w:hAnsi="Calibri" w:cs="Times New Roman"/>
          <w:lang w:val="es-CO" w:eastAsia="en-US"/>
        </w:rPr>
      </w:pPr>
      <w:r w:rsidRPr="00832766">
        <w:rPr>
          <w:rFonts w:ascii="Calibri" w:eastAsia="Calibri" w:hAnsi="Calibri" w:cs="Times New Roman"/>
          <w:lang w:val="es-CO" w:eastAsia="en-US"/>
        </w:rPr>
        <w:t xml:space="preserve">Consulte más información en: </w:t>
      </w:r>
    </w:p>
    <w:p w:rsidR="00832766" w:rsidRPr="00832766" w:rsidRDefault="00832766" w:rsidP="00832766">
      <w:pPr>
        <w:widowControl/>
        <w:tabs>
          <w:tab w:val="clear" w:pos="284"/>
        </w:tabs>
        <w:jc w:val="left"/>
        <w:rPr>
          <w:rFonts w:ascii="Calibri" w:eastAsia="Calibri" w:hAnsi="Calibri" w:cs="Times New Roman"/>
          <w:lang w:val="es-CO" w:eastAsia="en-US"/>
        </w:rPr>
      </w:pPr>
    </w:p>
    <w:p w:rsidR="00832766" w:rsidRPr="00832766" w:rsidRDefault="00832766" w:rsidP="00832766">
      <w:pPr>
        <w:widowControl/>
        <w:tabs>
          <w:tab w:val="clear" w:pos="284"/>
        </w:tabs>
        <w:jc w:val="left"/>
        <w:rPr>
          <w:rFonts w:ascii="Calibri" w:eastAsia="Calibri" w:hAnsi="Calibri" w:cs="Times New Roman"/>
          <w:lang w:val="es-CO" w:eastAsia="en-US"/>
        </w:rPr>
      </w:pPr>
      <w:r w:rsidRPr="00832766">
        <w:rPr>
          <w:rFonts w:ascii="Calibri" w:eastAsia="Calibri" w:hAnsi="Calibri" w:cs="Times New Roman"/>
          <w:lang w:val="es-CO" w:eastAsia="en-US"/>
        </w:rPr>
        <w:t xml:space="preserve">http://www.andemos.org </w:t>
      </w:r>
    </w:p>
    <w:p w:rsidR="00832766" w:rsidRPr="00832766" w:rsidRDefault="00832766" w:rsidP="00832766">
      <w:pPr>
        <w:widowControl/>
        <w:tabs>
          <w:tab w:val="clear" w:pos="284"/>
        </w:tabs>
        <w:jc w:val="left"/>
        <w:rPr>
          <w:rFonts w:ascii="Calibri" w:eastAsia="Calibri" w:hAnsi="Calibri" w:cs="Times New Roman"/>
          <w:lang w:val="es-CO" w:eastAsia="en-US"/>
        </w:rPr>
      </w:pPr>
      <w:r w:rsidRPr="00832766">
        <w:rPr>
          <w:rFonts w:ascii="Calibri" w:eastAsia="Calibri" w:hAnsi="Calibri" w:cs="Times New Roman"/>
          <w:lang w:val="es-CO" w:eastAsia="en-US"/>
        </w:rPr>
        <w:t xml:space="preserve">http://www.twitter.com/ANDEMOS_COL </w:t>
      </w:r>
    </w:p>
    <w:p w:rsidR="00832766" w:rsidRPr="00832766" w:rsidRDefault="00832766" w:rsidP="00832766">
      <w:pPr>
        <w:widowControl/>
        <w:tabs>
          <w:tab w:val="clear" w:pos="284"/>
        </w:tabs>
        <w:jc w:val="left"/>
        <w:rPr>
          <w:rFonts w:ascii="Calibri" w:eastAsia="Calibri" w:hAnsi="Calibri" w:cs="Times New Roman"/>
          <w:lang w:val="es-CO" w:eastAsia="en-US"/>
        </w:rPr>
      </w:pPr>
      <w:r w:rsidRPr="00832766">
        <w:rPr>
          <w:rFonts w:ascii="Calibri" w:eastAsia="Calibri" w:hAnsi="Calibri" w:cs="Times New Roman"/>
          <w:lang w:val="es-CO" w:eastAsia="en-US"/>
        </w:rPr>
        <w:t xml:space="preserve">http://www.facebook.com/ANDEMOS </w:t>
      </w:r>
    </w:p>
    <w:p w:rsidR="007166FA" w:rsidRPr="00735D0A" w:rsidRDefault="007166FA" w:rsidP="00832766">
      <w:pPr>
        <w:pStyle w:val="Sinespaciado"/>
      </w:pPr>
    </w:p>
    <w:sectPr w:rsidR="007166FA" w:rsidRPr="00735D0A">
      <w:headerReference w:type="default" r:id="rId9"/>
      <w:footerReference w:type="default" r:id="rId10"/>
      <w:pgSz w:w="12242" w:h="15842"/>
      <w:pgMar w:top="1418" w:right="1134" w:bottom="1985" w:left="1701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09" w:rsidRDefault="007A4E09">
      <w:r>
        <w:separator/>
      </w:r>
    </w:p>
  </w:endnote>
  <w:endnote w:type="continuationSeparator" w:id="0">
    <w:p w:rsidR="007A4E09" w:rsidRDefault="007A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BVA Office Book">
    <w:altName w:val="BBVA Offic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BE" w:rsidRDefault="004331B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3504D" w:rsidRPr="00A3504D">
      <w:rPr>
        <w:noProof/>
        <w:lang w:val="es-ES"/>
      </w:rPr>
      <w:t>2</w:t>
    </w:r>
    <w:r>
      <w:fldChar w:fldCharType="end"/>
    </w:r>
  </w:p>
  <w:p w:rsidR="00DA15D9" w:rsidRDefault="00DA15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09" w:rsidRDefault="007A4E09">
      <w:r>
        <w:separator/>
      </w:r>
    </w:p>
  </w:footnote>
  <w:footnote w:type="continuationSeparator" w:id="0">
    <w:p w:rsidR="007A4E09" w:rsidRDefault="007A4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1421"/>
      <w:gridCol w:w="8585"/>
    </w:tblGrid>
    <w:tr w:rsidR="00DA15D9">
      <w:trPr>
        <w:trHeight w:val="698"/>
      </w:trPr>
      <w:tc>
        <w:tcPr>
          <w:tcW w:w="1421" w:type="dxa"/>
        </w:tcPr>
        <w:p w:rsidR="00DA15D9" w:rsidRDefault="00AD6BE1">
          <w:pPr>
            <w:pStyle w:val="Encabezado"/>
            <w:jc w:val="right"/>
          </w:pPr>
          <w:r>
            <w:rPr>
              <w:rFonts w:ascii="Tw Cen MT" w:hAnsi="Tw Cen MT"/>
              <w:noProof/>
              <w:sz w:val="20"/>
              <w:szCs w:val="20"/>
              <w:lang w:val="es-CO"/>
            </w:rPr>
            <w:drawing>
              <wp:inline distT="0" distB="0" distL="0" distR="0" wp14:anchorId="497D2D9B" wp14:editId="624B5DDC">
                <wp:extent cx="762000" cy="400050"/>
                <wp:effectExtent l="0" t="0" r="0" b="0"/>
                <wp:docPr id="1" name="0 Imagen" descr="escanear0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anear00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62" t="11324" r="41730" b="76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5" w:type="dxa"/>
        </w:tcPr>
        <w:p w:rsidR="00DA15D9" w:rsidRDefault="00DA15D9">
          <w:pPr>
            <w:pStyle w:val="Encabezado"/>
            <w:jc w:val="right"/>
            <w:rPr>
              <w:rFonts w:ascii="Tw Cen MT" w:hAnsi="Tw Cen MT"/>
              <w:sz w:val="24"/>
              <w:szCs w:val="24"/>
            </w:rPr>
          </w:pPr>
          <w:r>
            <w:rPr>
              <w:rFonts w:ascii="Tw Cen MT" w:hAnsi="Tw Cen MT"/>
              <w:sz w:val="24"/>
              <w:szCs w:val="24"/>
            </w:rPr>
            <w:t>Asociación Colombiana de Vehículos Automotores</w:t>
          </w:r>
        </w:p>
        <w:p w:rsidR="00DA15D9" w:rsidRDefault="00DA15D9">
          <w:pPr>
            <w:pStyle w:val="Encabezado"/>
            <w:jc w:val="right"/>
            <w:rPr>
              <w:rFonts w:ascii="Tw Cen MT" w:hAnsi="Tw Cen MT"/>
              <w:sz w:val="24"/>
              <w:szCs w:val="24"/>
            </w:rPr>
          </w:pPr>
          <w:r>
            <w:rPr>
              <w:rFonts w:ascii="Tw Cen MT" w:hAnsi="Tw Cen MT"/>
              <w:sz w:val="24"/>
              <w:szCs w:val="24"/>
            </w:rPr>
            <w:t>ANDEMOS</w:t>
          </w:r>
        </w:p>
        <w:p w:rsidR="00DA15D9" w:rsidRDefault="00DA15D9">
          <w:pPr>
            <w:pStyle w:val="Encabezado"/>
            <w:jc w:val="right"/>
          </w:pPr>
        </w:p>
      </w:tc>
    </w:tr>
  </w:tbl>
  <w:p w:rsidR="00DA15D9" w:rsidRDefault="00AD6BE1">
    <w:pPr>
      <w:pStyle w:val="Encabezado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CB6DD" wp14:editId="7FDFEC03">
              <wp:simplePos x="0" y="0"/>
              <wp:positionH relativeFrom="column">
                <wp:posOffset>-325120</wp:posOffset>
              </wp:positionH>
              <wp:positionV relativeFrom="paragraph">
                <wp:posOffset>-1905</wp:posOffset>
              </wp:positionV>
              <wp:extent cx="6303645" cy="635"/>
              <wp:effectExtent l="8255" t="7620" r="1270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364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6pt;margin-top:-.15pt;width:496.3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" strokecolor="gra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559"/>
    <w:multiLevelType w:val="hybridMultilevel"/>
    <w:tmpl w:val="F77E65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372669"/>
    <w:multiLevelType w:val="hybridMultilevel"/>
    <w:tmpl w:val="BB02AA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737E7"/>
    <w:multiLevelType w:val="hybridMultilevel"/>
    <w:tmpl w:val="BE8C9C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C6E53"/>
    <w:multiLevelType w:val="hybridMultilevel"/>
    <w:tmpl w:val="2D6C14CE"/>
    <w:lvl w:ilvl="0" w:tplc="187A7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02215"/>
    <w:multiLevelType w:val="hybridMultilevel"/>
    <w:tmpl w:val="19040266"/>
    <w:lvl w:ilvl="0" w:tplc="516AA386">
      <w:start w:val="1"/>
      <w:numFmt w:val="decimal"/>
      <w:lvlText w:val="%1."/>
      <w:lvlJc w:val="left"/>
      <w:pPr>
        <w:ind w:left="720" w:hanging="360"/>
      </w:pPr>
      <w:rPr>
        <w:rFonts w:hint="default"/>
        <w:lang w:val="es-C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2880"/>
    <w:multiLevelType w:val="hybridMultilevel"/>
    <w:tmpl w:val="C014777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5F7A"/>
    <w:multiLevelType w:val="hybridMultilevel"/>
    <w:tmpl w:val="54EEA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85422"/>
    <w:multiLevelType w:val="hybridMultilevel"/>
    <w:tmpl w:val="3EF00A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DB1A43"/>
    <w:multiLevelType w:val="hybridMultilevel"/>
    <w:tmpl w:val="7A4C14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904DF"/>
    <w:multiLevelType w:val="hybridMultilevel"/>
    <w:tmpl w:val="6B66B298"/>
    <w:lvl w:ilvl="0" w:tplc="55308A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968C9"/>
    <w:multiLevelType w:val="hybridMultilevel"/>
    <w:tmpl w:val="81843E3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81181"/>
    <w:multiLevelType w:val="hybridMultilevel"/>
    <w:tmpl w:val="6330A59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9D4BCF"/>
    <w:multiLevelType w:val="hybridMultilevel"/>
    <w:tmpl w:val="177428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6F609A"/>
    <w:multiLevelType w:val="multilevel"/>
    <w:tmpl w:val="89DE7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32D12"/>
    <w:multiLevelType w:val="hybridMultilevel"/>
    <w:tmpl w:val="2F123B24"/>
    <w:lvl w:ilvl="0" w:tplc="53AE90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C5BFD"/>
    <w:multiLevelType w:val="hybridMultilevel"/>
    <w:tmpl w:val="34CE3DCC"/>
    <w:lvl w:ilvl="0" w:tplc="040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35E137EA"/>
    <w:multiLevelType w:val="hybridMultilevel"/>
    <w:tmpl w:val="9298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953EDF"/>
    <w:multiLevelType w:val="hybridMultilevel"/>
    <w:tmpl w:val="5B648B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E3044B"/>
    <w:multiLevelType w:val="hybridMultilevel"/>
    <w:tmpl w:val="D428ABA4"/>
    <w:lvl w:ilvl="0" w:tplc="53E4E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2143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19D6EB3"/>
    <w:multiLevelType w:val="hybridMultilevel"/>
    <w:tmpl w:val="E96421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8D30FB"/>
    <w:multiLevelType w:val="hybridMultilevel"/>
    <w:tmpl w:val="C90686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C743DC"/>
    <w:multiLevelType w:val="hybridMultilevel"/>
    <w:tmpl w:val="D2C21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F3CA5"/>
    <w:multiLevelType w:val="hybridMultilevel"/>
    <w:tmpl w:val="723A777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446406"/>
    <w:multiLevelType w:val="multilevel"/>
    <w:tmpl w:val="9BA0F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657E8A"/>
    <w:multiLevelType w:val="hybridMultilevel"/>
    <w:tmpl w:val="B3041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752EB"/>
    <w:multiLevelType w:val="hybridMultilevel"/>
    <w:tmpl w:val="DFF0B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E47574"/>
    <w:multiLevelType w:val="hybridMultilevel"/>
    <w:tmpl w:val="89DE7F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83C39"/>
    <w:multiLevelType w:val="hybridMultilevel"/>
    <w:tmpl w:val="EDFA10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2F2852"/>
    <w:multiLevelType w:val="hybridMultilevel"/>
    <w:tmpl w:val="07E06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807E9F"/>
    <w:multiLevelType w:val="hybridMultilevel"/>
    <w:tmpl w:val="B192A2C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052425"/>
    <w:multiLevelType w:val="hybridMultilevel"/>
    <w:tmpl w:val="44B2CF0E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2821C5"/>
    <w:multiLevelType w:val="hybridMultilevel"/>
    <w:tmpl w:val="3D703DDA"/>
    <w:lvl w:ilvl="0" w:tplc="313C4C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A1A1D"/>
    <w:multiLevelType w:val="hybridMultilevel"/>
    <w:tmpl w:val="0EC023F6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A890100"/>
    <w:multiLevelType w:val="hybridMultilevel"/>
    <w:tmpl w:val="087E3F86"/>
    <w:lvl w:ilvl="0" w:tplc="53E4E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575715"/>
    <w:multiLevelType w:val="hybridMultilevel"/>
    <w:tmpl w:val="1A6886C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8549C4"/>
    <w:multiLevelType w:val="hybridMultilevel"/>
    <w:tmpl w:val="41A26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BA3DB7"/>
    <w:multiLevelType w:val="hybridMultilevel"/>
    <w:tmpl w:val="78F25F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9C311B"/>
    <w:multiLevelType w:val="hybridMultilevel"/>
    <w:tmpl w:val="4E86DC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157BD3"/>
    <w:multiLevelType w:val="hybridMultilevel"/>
    <w:tmpl w:val="0E1A42B4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24891"/>
    <w:multiLevelType w:val="hybridMultilevel"/>
    <w:tmpl w:val="727802B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C412D5"/>
    <w:multiLevelType w:val="hybridMultilevel"/>
    <w:tmpl w:val="363E4E4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0E3890"/>
    <w:multiLevelType w:val="hybridMultilevel"/>
    <w:tmpl w:val="8D98A876"/>
    <w:lvl w:ilvl="0" w:tplc="7362E3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4638B"/>
    <w:multiLevelType w:val="hybridMultilevel"/>
    <w:tmpl w:val="3C285286"/>
    <w:lvl w:ilvl="0" w:tplc="5B2C2E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B25E0"/>
    <w:multiLevelType w:val="hybridMultilevel"/>
    <w:tmpl w:val="795C3182"/>
    <w:lvl w:ilvl="0" w:tplc="67A487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B7E72"/>
    <w:multiLevelType w:val="hybridMultilevel"/>
    <w:tmpl w:val="7D36F240"/>
    <w:lvl w:ilvl="0" w:tplc="53AE90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7"/>
  </w:num>
  <w:num w:numId="3">
    <w:abstractNumId w:val="13"/>
  </w:num>
  <w:num w:numId="4">
    <w:abstractNumId w:val="16"/>
  </w:num>
  <w:num w:numId="5">
    <w:abstractNumId w:val="36"/>
  </w:num>
  <w:num w:numId="6">
    <w:abstractNumId w:val="12"/>
  </w:num>
  <w:num w:numId="7">
    <w:abstractNumId w:val="26"/>
  </w:num>
  <w:num w:numId="8">
    <w:abstractNumId w:val="6"/>
  </w:num>
  <w:num w:numId="9">
    <w:abstractNumId w:val="20"/>
  </w:num>
  <w:num w:numId="10">
    <w:abstractNumId w:val="29"/>
  </w:num>
  <w:num w:numId="11">
    <w:abstractNumId w:val="19"/>
  </w:num>
  <w:num w:numId="12">
    <w:abstractNumId w:val="15"/>
  </w:num>
  <w:num w:numId="13">
    <w:abstractNumId w:val="42"/>
  </w:num>
  <w:num w:numId="14">
    <w:abstractNumId w:val="28"/>
  </w:num>
  <w:num w:numId="15">
    <w:abstractNumId w:val="31"/>
  </w:num>
  <w:num w:numId="16">
    <w:abstractNumId w:val="39"/>
  </w:num>
  <w:num w:numId="17">
    <w:abstractNumId w:val="32"/>
  </w:num>
  <w:num w:numId="18">
    <w:abstractNumId w:val="14"/>
  </w:num>
  <w:num w:numId="19">
    <w:abstractNumId w:val="45"/>
  </w:num>
  <w:num w:numId="20">
    <w:abstractNumId w:val="7"/>
  </w:num>
  <w:num w:numId="21">
    <w:abstractNumId w:val="43"/>
  </w:num>
  <w:num w:numId="22">
    <w:abstractNumId w:val="24"/>
  </w:num>
  <w:num w:numId="23">
    <w:abstractNumId w:val="21"/>
  </w:num>
  <w:num w:numId="24">
    <w:abstractNumId w:val="25"/>
  </w:num>
  <w:num w:numId="25">
    <w:abstractNumId w:val="30"/>
  </w:num>
  <w:num w:numId="26">
    <w:abstractNumId w:val="3"/>
  </w:num>
  <w:num w:numId="27">
    <w:abstractNumId w:val="22"/>
  </w:num>
  <w:num w:numId="28">
    <w:abstractNumId w:val="23"/>
  </w:num>
  <w:num w:numId="29">
    <w:abstractNumId w:val="33"/>
  </w:num>
  <w:num w:numId="30">
    <w:abstractNumId w:val="4"/>
  </w:num>
  <w:num w:numId="31">
    <w:abstractNumId w:val="8"/>
  </w:num>
  <w:num w:numId="32">
    <w:abstractNumId w:val="44"/>
  </w:num>
  <w:num w:numId="33">
    <w:abstractNumId w:val="5"/>
  </w:num>
  <w:num w:numId="34">
    <w:abstractNumId w:val="34"/>
  </w:num>
  <w:num w:numId="35">
    <w:abstractNumId w:val="18"/>
  </w:num>
  <w:num w:numId="36">
    <w:abstractNumId w:val="2"/>
  </w:num>
  <w:num w:numId="37">
    <w:abstractNumId w:val="1"/>
  </w:num>
  <w:num w:numId="38">
    <w:abstractNumId w:val="10"/>
  </w:num>
  <w:num w:numId="39">
    <w:abstractNumId w:val="37"/>
  </w:num>
  <w:num w:numId="40">
    <w:abstractNumId w:val="38"/>
  </w:num>
  <w:num w:numId="41">
    <w:abstractNumId w:val="0"/>
  </w:num>
  <w:num w:numId="42">
    <w:abstractNumId w:val="9"/>
  </w:num>
  <w:num w:numId="43">
    <w:abstractNumId w:val="41"/>
  </w:num>
  <w:num w:numId="44">
    <w:abstractNumId w:val="11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AF"/>
    <w:rsid w:val="0002585A"/>
    <w:rsid w:val="000A38DA"/>
    <w:rsid w:val="00114594"/>
    <w:rsid w:val="001B7EC5"/>
    <w:rsid w:val="00243DAF"/>
    <w:rsid w:val="00301D31"/>
    <w:rsid w:val="00315B6A"/>
    <w:rsid w:val="003735CF"/>
    <w:rsid w:val="003C4660"/>
    <w:rsid w:val="00425C69"/>
    <w:rsid w:val="004331BE"/>
    <w:rsid w:val="00494324"/>
    <w:rsid w:val="00503AD1"/>
    <w:rsid w:val="00511E9E"/>
    <w:rsid w:val="0058197E"/>
    <w:rsid w:val="005900E6"/>
    <w:rsid w:val="005B7390"/>
    <w:rsid w:val="005B7442"/>
    <w:rsid w:val="00600B2F"/>
    <w:rsid w:val="00614A39"/>
    <w:rsid w:val="00621613"/>
    <w:rsid w:val="00633C07"/>
    <w:rsid w:val="00674000"/>
    <w:rsid w:val="007166FA"/>
    <w:rsid w:val="00735D0A"/>
    <w:rsid w:val="0077470A"/>
    <w:rsid w:val="007A4E09"/>
    <w:rsid w:val="007D0803"/>
    <w:rsid w:val="00806A6C"/>
    <w:rsid w:val="0081145E"/>
    <w:rsid w:val="00832766"/>
    <w:rsid w:val="00845F4C"/>
    <w:rsid w:val="008836C4"/>
    <w:rsid w:val="00894D4A"/>
    <w:rsid w:val="00897141"/>
    <w:rsid w:val="008C053F"/>
    <w:rsid w:val="008C3291"/>
    <w:rsid w:val="00967039"/>
    <w:rsid w:val="0097600A"/>
    <w:rsid w:val="009F2F9D"/>
    <w:rsid w:val="009F331A"/>
    <w:rsid w:val="00A023E1"/>
    <w:rsid w:val="00A26659"/>
    <w:rsid w:val="00A3504D"/>
    <w:rsid w:val="00AD6BE1"/>
    <w:rsid w:val="00AF438C"/>
    <w:rsid w:val="00AF43FD"/>
    <w:rsid w:val="00B12AC3"/>
    <w:rsid w:val="00B63147"/>
    <w:rsid w:val="00B913D1"/>
    <w:rsid w:val="00BB4E74"/>
    <w:rsid w:val="00C17BF6"/>
    <w:rsid w:val="00C51DC0"/>
    <w:rsid w:val="00CA0AB2"/>
    <w:rsid w:val="00CC4FEF"/>
    <w:rsid w:val="00D906C4"/>
    <w:rsid w:val="00D91F9A"/>
    <w:rsid w:val="00DA15D9"/>
    <w:rsid w:val="00E44581"/>
    <w:rsid w:val="00E72706"/>
    <w:rsid w:val="00EB090E"/>
    <w:rsid w:val="00EC3B74"/>
    <w:rsid w:val="00EE277A"/>
    <w:rsid w:val="00F367E2"/>
    <w:rsid w:val="00FA2F69"/>
    <w:rsid w:val="00FD304B"/>
    <w:rsid w:val="00FE0A04"/>
    <w:rsid w:val="00FE6CC4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284"/>
      </w:tabs>
      <w:autoSpaceDE w:val="0"/>
      <w:autoSpaceDN w:val="0"/>
      <w:adjustRightInd w:val="0"/>
      <w:jc w:val="both"/>
    </w:pPr>
    <w:rPr>
      <w:rFonts w:ascii="Arial" w:eastAsia="Times New Roman" w:hAnsi="Arial" w:cs="Arial"/>
      <w:sz w:val="22"/>
      <w:szCs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/>
      <w:tabs>
        <w:tab w:val="clear" w:pos="284"/>
      </w:tabs>
      <w:autoSpaceDE/>
      <w:autoSpaceDN/>
      <w:adjustRightInd/>
      <w:jc w:val="left"/>
      <w:outlineLvl w:val="0"/>
    </w:pPr>
    <w:rPr>
      <w:rFonts w:cs="Times New Roman"/>
      <w:sz w:val="24"/>
      <w:szCs w:val="24"/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tabs>
        <w:tab w:val="clear" w:pos="284"/>
      </w:tabs>
      <w:jc w:val="left"/>
    </w:pPr>
    <w:rPr>
      <w:lang w:val="es-CO"/>
    </w:rPr>
  </w:style>
  <w:style w:type="character" w:customStyle="1" w:styleId="CharChar3">
    <w:name w:val="Char Char3"/>
    <w:rPr>
      <w:rFonts w:ascii="Arial" w:eastAsia="Times New Roman" w:hAnsi="Arial" w:cs="Arial"/>
      <w:lang w:val="es-CO" w:eastAsia="es-CO"/>
    </w:rPr>
  </w:style>
  <w:style w:type="paragraph" w:styleId="Encabezado">
    <w:name w:val="header"/>
    <w:basedOn w:val="Normal"/>
    <w:semiHidden/>
    <w:pPr>
      <w:tabs>
        <w:tab w:val="clear" w:pos="284"/>
        <w:tab w:val="center" w:pos="4419"/>
        <w:tab w:val="right" w:pos="8838"/>
      </w:tabs>
    </w:pPr>
  </w:style>
  <w:style w:type="character" w:customStyle="1" w:styleId="CharChar2">
    <w:name w:val="Char Char2"/>
    <w:rPr>
      <w:rFonts w:ascii="Arial" w:eastAsia="Times New Roman" w:hAnsi="Arial" w:cs="Arial"/>
      <w:lang w:val="es-ES_tradnl" w:eastAsia="es-CO"/>
    </w:rPr>
  </w:style>
  <w:style w:type="paragraph" w:styleId="Piedepgina">
    <w:name w:val="footer"/>
    <w:basedOn w:val="Normal"/>
    <w:link w:val="PiedepginaCar"/>
    <w:uiPriority w:val="99"/>
    <w:pPr>
      <w:tabs>
        <w:tab w:val="clear" w:pos="284"/>
        <w:tab w:val="center" w:pos="4419"/>
        <w:tab w:val="right" w:pos="8838"/>
      </w:tabs>
    </w:pPr>
  </w:style>
  <w:style w:type="character" w:customStyle="1" w:styleId="CharChar1">
    <w:name w:val="Char Char1"/>
    <w:rPr>
      <w:rFonts w:ascii="Arial" w:eastAsia="Times New Roman" w:hAnsi="Arial" w:cs="Arial"/>
      <w:lang w:val="es-ES_tradnl" w:eastAsia="es-CO"/>
    </w:rPr>
  </w:style>
  <w:style w:type="paragraph" w:styleId="Sangradetextonormal">
    <w:name w:val="Body Text Indent"/>
    <w:basedOn w:val="Normal"/>
    <w:semiHidden/>
    <w:unhideWhenUsed/>
    <w:pPr>
      <w:spacing w:after="120"/>
      <w:ind w:left="283"/>
    </w:pPr>
  </w:style>
  <w:style w:type="character" w:customStyle="1" w:styleId="CharChar">
    <w:name w:val="Char Char"/>
    <w:semiHidden/>
    <w:rPr>
      <w:rFonts w:ascii="Arial" w:eastAsia="Times New Roman" w:hAnsi="Arial" w:cs="Arial"/>
      <w:lang w:val="es-ES_tradnl" w:eastAsia="es-CO"/>
    </w:rPr>
  </w:style>
  <w:style w:type="paragraph" w:styleId="Sangra2detindependiente">
    <w:name w:val="Body Text Indent 2"/>
    <w:basedOn w:val="Normal"/>
    <w:semiHidden/>
    <w:pPr>
      <w:ind w:left="708"/>
    </w:pPr>
    <w:rPr>
      <w:sz w:val="24"/>
      <w:lang w:val="es-CO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character" w:customStyle="1" w:styleId="tituloarticulo1">
    <w:name w:val="titulo_articulo1"/>
    <w:rPr>
      <w:rFonts w:ascii="Arial" w:hAnsi="Arial" w:cs="Arial" w:hint="default"/>
      <w:b/>
      <w:bCs/>
      <w:caps w:val="0"/>
      <w:color w:val="000000"/>
      <w:spacing w:val="-15"/>
      <w:sz w:val="38"/>
      <w:szCs w:val="38"/>
    </w:rPr>
  </w:style>
  <w:style w:type="character" w:styleId="Textoennegrita">
    <w:name w:val="Strong"/>
    <w:qFormat/>
    <w:rPr>
      <w:b/>
      <w:bCs/>
    </w:rPr>
  </w:style>
  <w:style w:type="character" w:styleId="Nmerodepgina">
    <w:name w:val="page number"/>
    <w:basedOn w:val="Fuentedeprrafopredeter"/>
    <w:semiHidden/>
  </w:style>
  <w:style w:type="paragraph" w:styleId="Prrafodelista">
    <w:name w:val="List Paragraph"/>
    <w:basedOn w:val="Normal"/>
    <w:uiPriority w:val="34"/>
    <w:qFormat/>
    <w:rsid w:val="00243DAF"/>
    <w:pPr>
      <w:widowControl/>
      <w:tabs>
        <w:tab w:val="clear" w:pos="284"/>
      </w:tabs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3DAF"/>
    <w:pPr>
      <w:widowControl/>
      <w:tabs>
        <w:tab w:val="clear" w:pos="284"/>
      </w:tabs>
      <w:autoSpaceDE/>
      <w:autoSpaceDN/>
      <w:adjustRightInd/>
      <w:jc w:val="left"/>
    </w:pPr>
    <w:rPr>
      <w:rFonts w:ascii="Calibri" w:eastAsia="Calibri" w:hAnsi="Calibri" w:cs="Times New Roman"/>
      <w:sz w:val="20"/>
      <w:szCs w:val="20"/>
      <w:lang w:val="es-CO" w:eastAsia="en-US"/>
    </w:rPr>
  </w:style>
  <w:style w:type="character" w:customStyle="1" w:styleId="TextonotapieCar">
    <w:name w:val="Texto nota pie Car"/>
    <w:link w:val="Textonotapie"/>
    <w:uiPriority w:val="99"/>
    <w:semiHidden/>
    <w:rsid w:val="00243DAF"/>
    <w:rPr>
      <w:lang w:eastAsia="en-US"/>
    </w:rPr>
  </w:style>
  <w:style w:type="character" w:styleId="Refdenotaalpie">
    <w:name w:val="footnote reference"/>
    <w:uiPriority w:val="99"/>
    <w:semiHidden/>
    <w:unhideWhenUsed/>
    <w:rsid w:val="00243DA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DAF"/>
    <w:pPr>
      <w:widowControl/>
      <w:tabs>
        <w:tab w:val="clear" w:pos="284"/>
      </w:tabs>
      <w:autoSpaceDE/>
      <w:autoSpaceDN/>
      <w:adjustRightInd/>
      <w:jc w:val="left"/>
    </w:pPr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243DAF"/>
    <w:rPr>
      <w:rFonts w:ascii="Tahoma" w:hAnsi="Tahoma" w:cs="Tahoma"/>
      <w:sz w:val="16"/>
      <w:szCs w:val="16"/>
      <w:lang w:eastAsia="en-US"/>
    </w:rPr>
  </w:style>
  <w:style w:type="character" w:customStyle="1" w:styleId="textonavy1">
    <w:name w:val="texto_navy1"/>
    <w:rsid w:val="00243DAF"/>
    <w:rPr>
      <w:color w:val="000080"/>
    </w:rPr>
  </w:style>
  <w:style w:type="character" w:customStyle="1" w:styleId="textonavy">
    <w:name w:val="texto_navy"/>
    <w:rsid w:val="00243DAF"/>
  </w:style>
  <w:style w:type="paragraph" w:styleId="Sinespaciado">
    <w:name w:val="No Spacing"/>
    <w:uiPriority w:val="1"/>
    <w:qFormat/>
    <w:rsid w:val="00243DAF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4331BE"/>
    <w:rPr>
      <w:rFonts w:ascii="Arial" w:eastAsia="Times New Roman" w:hAnsi="Arial" w:cs="Arial"/>
      <w:sz w:val="22"/>
      <w:szCs w:val="22"/>
      <w:lang w:val="es-ES_tradnl"/>
    </w:rPr>
  </w:style>
  <w:style w:type="paragraph" w:customStyle="1" w:styleId="Default">
    <w:name w:val="Default"/>
    <w:rsid w:val="00806A6C"/>
    <w:pPr>
      <w:autoSpaceDE w:val="0"/>
      <w:autoSpaceDN w:val="0"/>
      <w:adjustRightInd w:val="0"/>
    </w:pPr>
    <w:rPr>
      <w:rFonts w:ascii="BBVA Office Book" w:eastAsia="Times New Roman" w:hAnsi="BBVA Office Book" w:cs="BBVA Office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284"/>
      </w:tabs>
      <w:autoSpaceDE w:val="0"/>
      <w:autoSpaceDN w:val="0"/>
      <w:adjustRightInd w:val="0"/>
      <w:jc w:val="both"/>
    </w:pPr>
    <w:rPr>
      <w:rFonts w:ascii="Arial" w:eastAsia="Times New Roman" w:hAnsi="Arial" w:cs="Arial"/>
      <w:sz w:val="22"/>
      <w:szCs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/>
      <w:tabs>
        <w:tab w:val="clear" w:pos="284"/>
      </w:tabs>
      <w:autoSpaceDE/>
      <w:autoSpaceDN/>
      <w:adjustRightInd/>
      <w:jc w:val="left"/>
      <w:outlineLvl w:val="0"/>
    </w:pPr>
    <w:rPr>
      <w:rFonts w:cs="Times New Roman"/>
      <w:sz w:val="24"/>
      <w:szCs w:val="24"/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tabs>
        <w:tab w:val="clear" w:pos="284"/>
      </w:tabs>
      <w:jc w:val="left"/>
    </w:pPr>
    <w:rPr>
      <w:lang w:val="es-CO"/>
    </w:rPr>
  </w:style>
  <w:style w:type="character" w:customStyle="1" w:styleId="CharChar3">
    <w:name w:val="Char Char3"/>
    <w:rPr>
      <w:rFonts w:ascii="Arial" w:eastAsia="Times New Roman" w:hAnsi="Arial" w:cs="Arial"/>
      <w:lang w:val="es-CO" w:eastAsia="es-CO"/>
    </w:rPr>
  </w:style>
  <w:style w:type="paragraph" w:styleId="Encabezado">
    <w:name w:val="header"/>
    <w:basedOn w:val="Normal"/>
    <w:semiHidden/>
    <w:pPr>
      <w:tabs>
        <w:tab w:val="clear" w:pos="284"/>
        <w:tab w:val="center" w:pos="4419"/>
        <w:tab w:val="right" w:pos="8838"/>
      </w:tabs>
    </w:pPr>
  </w:style>
  <w:style w:type="character" w:customStyle="1" w:styleId="CharChar2">
    <w:name w:val="Char Char2"/>
    <w:rPr>
      <w:rFonts w:ascii="Arial" w:eastAsia="Times New Roman" w:hAnsi="Arial" w:cs="Arial"/>
      <w:lang w:val="es-ES_tradnl" w:eastAsia="es-CO"/>
    </w:rPr>
  </w:style>
  <w:style w:type="paragraph" w:styleId="Piedepgina">
    <w:name w:val="footer"/>
    <w:basedOn w:val="Normal"/>
    <w:link w:val="PiedepginaCar"/>
    <w:uiPriority w:val="99"/>
    <w:pPr>
      <w:tabs>
        <w:tab w:val="clear" w:pos="284"/>
        <w:tab w:val="center" w:pos="4419"/>
        <w:tab w:val="right" w:pos="8838"/>
      </w:tabs>
    </w:pPr>
  </w:style>
  <w:style w:type="character" w:customStyle="1" w:styleId="CharChar1">
    <w:name w:val="Char Char1"/>
    <w:rPr>
      <w:rFonts w:ascii="Arial" w:eastAsia="Times New Roman" w:hAnsi="Arial" w:cs="Arial"/>
      <w:lang w:val="es-ES_tradnl" w:eastAsia="es-CO"/>
    </w:rPr>
  </w:style>
  <w:style w:type="paragraph" w:styleId="Sangradetextonormal">
    <w:name w:val="Body Text Indent"/>
    <w:basedOn w:val="Normal"/>
    <w:semiHidden/>
    <w:unhideWhenUsed/>
    <w:pPr>
      <w:spacing w:after="120"/>
      <w:ind w:left="283"/>
    </w:pPr>
  </w:style>
  <w:style w:type="character" w:customStyle="1" w:styleId="CharChar">
    <w:name w:val="Char Char"/>
    <w:semiHidden/>
    <w:rPr>
      <w:rFonts w:ascii="Arial" w:eastAsia="Times New Roman" w:hAnsi="Arial" w:cs="Arial"/>
      <w:lang w:val="es-ES_tradnl" w:eastAsia="es-CO"/>
    </w:rPr>
  </w:style>
  <w:style w:type="paragraph" w:styleId="Sangra2detindependiente">
    <w:name w:val="Body Text Indent 2"/>
    <w:basedOn w:val="Normal"/>
    <w:semiHidden/>
    <w:pPr>
      <w:ind w:left="708"/>
    </w:pPr>
    <w:rPr>
      <w:sz w:val="24"/>
      <w:lang w:val="es-CO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character" w:customStyle="1" w:styleId="tituloarticulo1">
    <w:name w:val="titulo_articulo1"/>
    <w:rPr>
      <w:rFonts w:ascii="Arial" w:hAnsi="Arial" w:cs="Arial" w:hint="default"/>
      <w:b/>
      <w:bCs/>
      <w:caps w:val="0"/>
      <w:color w:val="000000"/>
      <w:spacing w:val="-15"/>
      <w:sz w:val="38"/>
      <w:szCs w:val="38"/>
    </w:rPr>
  </w:style>
  <w:style w:type="character" w:styleId="Textoennegrita">
    <w:name w:val="Strong"/>
    <w:qFormat/>
    <w:rPr>
      <w:b/>
      <w:bCs/>
    </w:rPr>
  </w:style>
  <w:style w:type="character" w:styleId="Nmerodepgina">
    <w:name w:val="page number"/>
    <w:basedOn w:val="Fuentedeprrafopredeter"/>
    <w:semiHidden/>
  </w:style>
  <w:style w:type="paragraph" w:styleId="Prrafodelista">
    <w:name w:val="List Paragraph"/>
    <w:basedOn w:val="Normal"/>
    <w:uiPriority w:val="34"/>
    <w:qFormat/>
    <w:rsid w:val="00243DAF"/>
    <w:pPr>
      <w:widowControl/>
      <w:tabs>
        <w:tab w:val="clear" w:pos="284"/>
      </w:tabs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3DAF"/>
    <w:pPr>
      <w:widowControl/>
      <w:tabs>
        <w:tab w:val="clear" w:pos="284"/>
      </w:tabs>
      <w:autoSpaceDE/>
      <w:autoSpaceDN/>
      <w:adjustRightInd/>
      <w:jc w:val="left"/>
    </w:pPr>
    <w:rPr>
      <w:rFonts w:ascii="Calibri" w:eastAsia="Calibri" w:hAnsi="Calibri" w:cs="Times New Roman"/>
      <w:sz w:val="20"/>
      <w:szCs w:val="20"/>
      <w:lang w:val="es-CO" w:eastAsia="en-US"/>
    </w:rPr>
  </w:style>
  <w:style w:type="character" w:customStyle="1" w:styleId="TextonotapieCar">
    <w:name w:val="Texto nota pie Car"/>
    <w:link w:val="Textonotapie"/>
    <w:uiPriority w:val="99"/>
    <w:semiHidden/>
    <w:rsid w:val="00243DAF"/>
    <w:rPr>
      <w:lang w:eastAsia="en-US"/>
    </w:rPr>
  </w:style>
  <w:style w:type="character" w:styleId="Refdenotaalpie">
    <w:name w:val="footnote reference"/>
    <w:uiPriority w:val="99"/>
    <w:semiHidden/>
    <w:unhideWhenUsed/>
    <w:rsid w:val="00243DA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3DAF"/>
    <w:pPr>
      <w:widowControl/>
      <w:tabs>
        <w:tab w:val="clear" w:pos="284"/>
      </w:tabs>
      <w:autoSpaceDE/>
      <w:autoSpaceDN/>
      <w:adjustRightInd/>
      <w:jc w:val="left"/>
    </w:pPr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243DAF"/>
    <w:rPr>
      <w:rFonts w:ascii="Tahoma" w:hAnsi="Tahoma" w:cs="Tahoma"/>
      <w:sz w:val="16"/>
      <w:szCs w:val="16"/>
      <w:lang w:eastAsia="en-US"/>
    </w:rPr>
  </w:style>
  <w:style w:type="character" w:customStyle="1" w:styleId="textonavy1">
    <w:name w:val="texto_navy1"/>
    <w:rsid w:val="00243DAF"/>
    <w:rPr>
      <w:color w:val="000080"/>
    </w:rPr>
  </w:style>
  <w:style w:type="character" w:customStyle="1" w:styleId="textonavy">
    <w:name w:val="texto_navy"/>
    <w:rsid w:val="00243DAF"/>
  </w:style>
  <w:style w:type="paragraph" w:styleId="Sinespaciado">
    <w:name w:val="No Spacing"/>
    <w:uiPriority w:val="1"/>
    <w:qFormat/>
    <w:rsid w:val="00243DAF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4331BE"/>
    <w:rPr>
      <w:rFonts w:ascii="Arial" w:eastAsia="Times New Roman" w:hAnsi="Arial" w:cs="Arial"/>
      <w:sz w:val="22"/>
      <w:szCs w:val="22"/>
      <w:lang w:val="es-ES_tradnl"/>
    </w:rPr>
  </w:style>
  <w:style w:type="paragraph" w:customStyle="1" w:styleId="Default">
    <w:name w:val="Default"/>
    <w:rsid w:val="00806A6C"/>
    <w:pPr>
      <w:autoSpaceDE w:val="0"/>
      <w:autoSpaceDN w:val="0"/>
      <w:adjustRightInd w:val="0"/>
    </w:pPr>
    <w:rPr>
      <w:rFonts w:ascii="BBVA Office Book" w:eastAsia="Times New Roman" w:hAnsi="BBVA Office Book" w:cs="BBVA Office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Bogotá, Febrero 27 de 2008</vt:lpstr>
      <vt:lpstr>Bogotá, Febrero 27 de 2008</vt:lpstr>
    </vt:vector>
  </TitlesOfParts>
  <Company>Hewlett-Packard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Febrero 27 de 2008</dc:title>
  <dc:creator>ANDEMOS</dc:creator>
  <cp:lastModifiedBy>Oliverio Enrique Gar</cp:lastModifiedBy>
  <cp:revision>2</cp:revision>
  <cp:lastPrinted>2009-03-04T20:11:00Z</cp:lastPrinted>
  <dcterms:created xsi:type="dcterms:W3CDTF">2015-01-13T00:12:00Z</dcterms:created>
  <dcterms:modified xsi:type="dcterms:W3CDTF">2015-01-13T00:12:00Z</dcterms:modified>
</cp:coreProperties>
</file>